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tabs>
          <w:tab w:val="clear" w:pos="708"/>
          <w:tab w:val="left" w:pos="6797" w:leader="none"/>
        </w:tabs>
        <w:jc w:val="center"/>
        <w:rPr>
          <w:rFonts w:ascii="Times New Roman" w:hAnsi="Times New Roman"/>
          <w:b/>
          <w:b/>
          <w:spacing w:val="-4"/>
          <w:sz w:val="28"/>
          <w:szCs w:val="28"/>
        </w:rPr>
      </w:pPr>
      <w:r>
        <w:rPr>
          <w:rFonts w:ascii="Times New Roman" w:hAnsi="Times New Roman"/>
          <w:b/>
          <w:spacing w:val="-4"/>
          <w:sz w:val="28"/>
          <w:szCs w:val="28"/>
        </w:rPr>
        <w:t xml:space="preserve">Муниципальное казенное образовательное учреждение                                                          дополнительного образования   «Дом детского творчества» </w:t>
      </w:r>
    </w:p>
    <w:p>
      <w:pPr>
        <w:pStyle w:val="Normal"/>
        <w:shd w:val="clear" w:color="auto" w:fill="FFFFFF"/>
        <w:tabs>
          <w:tab w:val="clear" w:pos="708"/>
          <w:tab w:val="left" w:pos="6797" w:leader="none"/>
        </w:tabs>
        <w:jc w:val="center"/>
        <w:rPr>
          <w:rFonts w:ascii="Times New Roman" w:hAnsi="Times New Roman"/>
          <w:b/>
          <w:b/>
          <w:spacing w:val="-4"/>
          <w:sz w:val="28"/>
          <w:szCs w:val="28"/>
        </w:rPr>
      </w:pPr>
      <w:r>
        <w:rPr>
          <w:rFonts w:ascii="Times New Roman" w:hAnsi="Times New Roman"/>
          <w:b/>
          <w:spacing w:val="-4"/>
          <w:sz w:val="28"/>
          <w:szCs w:val="28"/>
        </w:rPr>
        <w:t xml:space="preserve">   </w:t>
      </w:r>
    </w:p>
    <w:tbl>
      <w:tblPr>
        <w:tblStyle w:val="a8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4785"/>
        <w:gridCol w:w="4785"/>
      </w:tblGrid>
      <w:tr>
        <w:trPr/>
        <w:tc>
          <w:tcPr>
            <w:tcW w:w="478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797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eastAsia="Calibri" w:cs="" w:ascii="Times New Roman" w:hAnsi="Times New Roman"/>
                <w:spacing w:val="-4"/>
                <w:kern w:val="0"/>
                <w:sz w:val="28"/>
                <w:szCs w:val="28"/>
                <w:lang w:val="ru-RU" w:eastAsia="en-US" w:bidi="ar-SA"/>
              </w:rPr>
              <w:t>«СОГЛАСОВАНО»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797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" w:ascii="Times New Roman" w:hAnsi="Times New Roman"/>
                <w:spacing w:val="-4"/>
                <w:kern w:val="0"/>
                <w:sz w:val="28"/>
                <w:szCs w:val="28"/>
                <w:lang w:val="ru-RU" w:eastAsia="en-US" w:bidi="ar-SA"/>
              </w:rPr>
              <w:t>Методист</w:t>
            </w:r>
            <w:r>
              <w:rPr>
                <w:rFonts w:eastAsia="Calibri" w:cs="" w:ascii="Times New Roman" w:hAnsi="Times New Roman"/>
                <w:b/>
                <w:spacing w:val="-4"/>
                <w:kern w:val="0"/>
                <w:sz w:val="28"/>
                <w:szCs w:val="28"/>
                <w:lang w:val="ru-RU" w:eastAsia="en-US" w:bidi="ar-SA"/>
              </w:rPr>
              <w:t xml:space="preserve">  </w:t>
            </w: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МКОУ ДО  «ДДТ»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797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_________________Хулхачиева И.В.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797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pacing w:val="-4"/>
                <w:sz w:val="28"/>
                <w:szCs w:val="28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___.09.2026г.</w:t>
            </w:r>
          </w:p>
        </w:tc>
        <w:tc>
          <w:tcPr>
            <w:tcW w:w="478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«УТВЕРЖДАЮ»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директор МКОУ ДО  «ДДТ»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_________________   Б.В.Довжаева                            приказ № _____   от   ___.09.2026г.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797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pacing w:val="-4"/>
                <w:sz w:val="22"/>
                <w:szCs w:val="28"/>
              </w:rPr>
            </w:r>
          </w:p>
        </w:tc>
      </w:tr>
    </w:tbl>
    <w:p>
      <w:pPr>
        <w:pStyle w:val="Normal"/>
        <w:shd w:val="clear" w:color="auto" w:fill="FFFFFF"/>
        <w:tabs>
          <w:tab w:val="clear" w:pos="708"/>
          <w:tab w:val="left" w:pos="6797" w:leader="none"/>
        </w:tabs>
        <w:jc w:val="center"/>
        <w:rPr>
          <w:b/>
          <w:b/>
          <w:spacing w:val="-4"/>
          <w:sz w:val="28"/>
          <w:szCs w:val="28"/>
        </w:rPr>
      </w:pPr>
      <w:r>
        <w:rPr>
          <w:rFonts w:ascii="Times New Roman" w:hAnsi="Times New Roman"/>
          <w:b/>
          <w:spacing w:val="-4"/>
          <w:sz w:val="28"/>
          <w:szCs w:val="28"/>
        </w:rPr>
        <w:t xml:space="preserve">                                                                                                 </w:t>
      </w:r>
    </w:p>
    <w:p>
      <w:pPr>
        <w:pStyle w:val="Normal"/>
        <w:rPr>
          <w:rStyle w:val="4"/>
          <w:rFonts w:ascii="Calibri" w:hAnsi="Calibri" w:cs="" w:asciiTheme="minorHAnsi" w:cstheme="minorBidi" w:hAnsiTheme="minorHAnsi"/>
          <w:b w:val="false"/>
          <w:b w:val="false"/>
          <w:bCs w:val="false"/>
          <w:sz w:val="22"/>
          <w:szCs w:val="22"/>
          <w:shd w:fill="auto" w:val="clear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2">
                <wp:simplePos x="0" y="0"/>
                <wp:positionH relativeFrom="column">
                  <wp:posOffset>-175260</wp:posOffset>
                </wp:positionH>
                <wp:positionV relativeFrom="paragraph">
                  <wp:posOffset>226695</wp:posOffset>
                </wp:positionV>
                <wp:extent cx="2792095" cy="1191895"/>
                <wp:effectExtent l="0" t="0" r="0" b="0"/>
                <wp:wrapNone/>
                <wp:docPr id="1" name="Изображение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1440" cy="11912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1"/>
                              <w:spacing w:before="0" w:after="200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Изображение1" path="m0,0l-2147483645,0l-2147483645,-2147483646l0,-2147483646xe" stroked="f" o:allowincell="f" style="position:absolute;margin-left:-13.8pt;margin-top:17.85pt;width:219.75pt;height:93.75pt;mso-wrap-style:square;v-text-anchor:top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21"/>
                        <w:spacing w:before="0" w:after="200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tab/>
      </w:r>
    </w:p>
    <w:p>
      <w:pPr>
        <w:pStyle w:val="Normal"/>
        <w:spacing w:lineRule="auto" w:line="480"/>
        <w:ind w:right="23" w:hanging="0"/>
        <w:jc w:val="center"/>
        <w:rPr>
          <w:rStyle w:val="4"/>
          <w:b w:val="false"/>
          <w:b w:val="false"/>
          <w:bCs w:val="false"/>
          <w:sz w:val="32"/>
          <w:szCs w:val="32"/>
        </w:rPr>
      </w:pPr>
      <w:r>
        <w:rPr>
          <w:b w:val="false"/>
          <w:bCs w:val="false"/>
          <w:sz w:val="32"/>
          <w:szCs w:val="32"/>
        </w:rPr>
      </w:r>
    </w:p>
    <w:p>
      <w:pPr>
        <w:pStyle w:val="Normal"/>
        <w:spacing w:lineRule="auto" w:line="480"/>
        <w:ind w:right="23" w:hanging="0"/>
        <w:jc w:val="center"/>
        <w:rPr>
          <w:rStyle w:val="4"/>
          <w:sz w:val="32"/>
          <w:szCs w:val="32"/>
        </w:rPr>
      </w:pPr>
      <w:r>
        <w:rPr>
          <w:rStyle w:val="4"/>
          <w:sz w:val="32"/>
          <w:szCs w:val="32"/>
        </w:rPr>
        <w:t xml:space="preserve">РАБОЧАЯ   ПРОГРАММА   СЕКЦИИ             </w:t>
      </w:r>
    </w:p>
    <w:p>
      <w:pPr>
        <w:pStyle w:val="Normal"/>
        <w:spacing w:lineRule="auto" w:line="480"/>
        <w:ind w:right="23" w:hanging="0"/>
        <w:jc w:val="center"/>
        <w:rPr>
          <w:rStyle w:val="4"/>
          <w:bCs w:val="false"/>
          <w:sz w:val="40"/>
          <w:szCs w:val="40"/>
        </w:rPr>
      </w:pPr>
      <w:r>
        <w:rPr>
          <w:rStyle w:val="4"/>
          <w:sz w:val="32"/>
          <w:szCs w:val="32"/>
        </w:rPr>
        <w:t xml:space="preserve">  </w:t>
      </w:r>
      <w:r>
        <w:rPr>
          <w:rStyle w:val="4"/>
          <w:sz w:val="40"/>
          <w:szCs w:val="40"/>
        </w:rPr>
        <w:t>«ФУТБОЛ» на 2026-2027 учебный год</w:t>
      </w:r>
    </w:p>
    <w:p>
      <w:pPr>
        <w:pStyle w:val="Normal"/>
        <w:spacing w:lineRule="auto" w:line="480"/>
        <w:ind w:right="23" w:hanging="0"/>
        <w:jc w:val="center"/>
        <w:rPr>
          <w:rStyle w:val="4"/>
          <w:bCs w:val="false"/>
          <w:sz w:val="40"/>
          <w:szCs w:val="40"/>
        </w:rPr>
      </w:pPr>
      <w:r>
        <w:rPr>
          <w:bCs w:val="false"/>
          <w:sz w:val="40"/>
          <w:szCs w:val="40"/>
        </w:rPr>
      </w:r>
    </w:p>
    <w:p>
      <w:pPr>
        <w:pStyle w:val="Normal"/>
        <w:jc w:val="center"/>
        <w:rPr/>
      </w:pPr>
      <w:r>
        <w:rPr/>
        <w:t xml:space="preserve">                                                                      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Возраст обучающихся:  12-17 лет</w:t>
      </w:r>
      <w:r>
        <w:rPr/>
        <w:t xml:space="preserve">                                                                              </w:t>
      </w: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 Автор-составитель: </w:t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Диканев Алексей Павлович, </w:t>
      </w:r>
    </w:p>
    <w:p>
      <w:pPr>
        <w:pStyle w:val="Normal"/>
        <w:tabs>
          <w:tab w:val="clear" w:pos="708"/>
          <w:tab w:val="left" w:pos="3544" w:leader="none"/>
        </w:tabs>
        <w:ind w:firstLine="851"/>
        <w:jc w:val="right"/>
        <w:rPr>
          <w:rFonts w:ascii="Times New Roman" w:hAnsi="Times New Roman" w:cs="Times New Roman"/>
          <w:bCs/>
          <w:color w:val="000000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bCs/>
          <w:color w:val="000000"/>
          <w:sz w:val="28"/>
          <w:szCs w:val="28"/>
          <w:shd w:fill="FFFFFF" w:val="clear"/>
        </w:rPr>
        <w:t>Педагог дополнительного образования</w:t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633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633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2026г.</w:t>
      </w:r>
    </w:p>
    <w:p>
      <w:pPr>
        <w:pStyle w:val="Normal"/>
        <w:shd w:val="clear" w:color="auto" w:fill="FFFFFF"/>
        <w:tabs>
          <w:tab w:val="clear" w:pos="708"/>
          <w:tab w:val="left" w:pos="3750" w:leader="none"/>
        </w:tabs>
        <w:spacing w:lineRule="auto" w:line="240" w:before="0" w:after="15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u w:val="single"/>
          <w:lang w:eastAsia="ru-RU"/>
        </w:rPr>
        <w:t>1.ПОЯСНИТЕЛЬНАЯ ЗАПИСКА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Сегодня дополнительное образование детей по праву рассматривается  как важнейшая составляющая образовательного пространства, сложившегося в современном российском обществе. Оно социально востребовано и требует постоянного внимания и поддержки со стороны общества и государства как образование, органично сочетающее в себе воспитание, обучение и развитие личности ребенка, что нашло отражение в Национальной доктрине образования в Российской Федерации, Федеральной программе развития образования. В Концепции модернизации российского образования подчеркнута важнейшая роль учреждений дополнительного образования детей как одного из определяющих факторов развития склонностей, способностей и интересов, социального и профессионального самоопределения детей и молодежи.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Физкулътурно-оздоровительная и спортивно-массовая работа в системе дополнительного образования детей ориентирована на физическое совершенствование ребенка, формирование здорового образа жизни, воспитание спортивного резерва нации и осуществляется не только за счет увеличения количества спортивных школ, но и за счет развития других форм внеклассной и внешкольной работы с детьми, создания физкультурно-оздоровительных и спортивных секций и клубов в учреждениях общего и профессионального образования.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Программа разработана в соответствии с: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Федерального Закона от 29.12.2012 №273-ФЗ «Об образовании в Российской Федерации»; 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Концепции развития дополнительного образования детей (Распоряжение правительства РФ от 31 марта 2022 г. № 678-р);  СанПиН 2.4.4.3172-14 «Санитарно-эпидемиологические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детей» (Постановление Главного государственного санитарного врача РФ от 04.07.2014 № 41); 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Постановление Главного государственного санитарного врача Российской Федерации от 28.12.2020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 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Приказ Министерства просвещения Российской Федерации от 09.11.2018 г. № 196 «Об утверждении Порядка организации и осуществления образовательной деятельности по дополнительным общеобразовательным программам»; 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Приказ Минпросвещения России от 03.09.2019 г. №467 «Об утверждении Целевой модели развития региональных систем развития дополнительного образования детей»; 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Приказа Министерства просвещения Российской Федерации от 27 июля 2022г. №629 «Порядок организации и осуществления образовательной деятельности по дополнительным общеобразовательным программам»;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Программа имеет спортивно-массовую направленность (вид спорта - футбол) и призвана осуществлять 3 исключительно важных функции:</w:t>
      </w:r>
    </w:p>
    <w:p>
      <w:pPr>
        <w:pStyle w:val="Normal"/>
        <w:numPr>
          <w:ilvl w:val="0"/>
          <w:numId w:val="2"/>
        </w:numPr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создавать эмоционально значимую среду для развития ребёнка и переживания им «ситуации успеха»;</w:t>
      </w:r>
    </w:p>
    <w:p>
      <w:pPr>
        <w:pStyle w:val="Normal"/>
        <w:numPr>
          <w:ilvl w:val="0"/>
          <w:numId w:val="2"/>
        </w:numPr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способствовать осознанию и дифференциации личностно-значимых интересов личности;</w:t>
      </w:r>
    </w:p>
    <w:p>
      <w:pPr>
        <w:pStyle w:val="Normal"/>
        <w:numPr>
          <w:ilvl w:val="0"/>
          <w:numId w:val="2"/>
        </w:numPr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выполнять защитную функцию по отношению к личности, компенсируя ограниченные возможности индивидуального развития детей в условиях общеобразовательной школы реализацией личностного потенциала в условиях дополнительного образования.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Ведущими ценностными приоритетами программы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 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являются: демократизация учебно-воспитательного процесса; формирование здорового образа жизни; саморазвитие личности; создание условий для педагогического творчества; поиск, поддержка и развитие детской спортивной одаренности посредством выбранного ими вида спорта.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Актуальность 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данной программы дополнительного образования в том, что она усиливает вариативную составляющую общего образования, способствует реализации сил, знаний, полученных детьми и подростками в базовом компоненте, формированию жизненных ценностей, овладению опытом самоорганизации, самореализации, самоконтроля ребенка и помогает ребятам в профессиональном самоопределении.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Новизна программы состоит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в удовлетворении возрастной потребности в идентификации личности, определении жизненных стратегий и обретении навыков их реализации; сохранении и культивирование уникальности личности несовершеннолетних граждан, создании условий, благоприятных для развития спортивной индивидуальности личности ребенка посредством клубной деятельности по интересам.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        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Педагогическая целесообразность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данной программы обусловлена целым рядом качеств, которых нет (или они слабо выражены) у основного:</w:t>
      </w:r>
    </w:p>
    <w:p>
      <w:pPr>
        <w:pStyle w:val="Normal"/>
        <w:numPr>
          <w:ilvl w:val="0"/>
          <w:numId w:val="3"/>
        </w:numPr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личностная ориентация образования;</w:t>
      </w:r>
    </w:p>
    <w:p>
      <w:pPr>
        <w:pStyle w:val="Normal"/>
        <w:numPr>
          <w:ilvl w:val="0"/>
          <w:numId w:val="3"/>
        </w:numPr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профильность;</w:t>
      </w:r>
    </w:p>
    <w:p>
      <w:pPr>
        <w:pStyle w:val="Normal"/>
        <w:numPr>
          <w:ilvl w:val="0"/>
          <w:numId w:val="3"/>
        </w:numPr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практическая направленность;</w:t>
      </w:r>
    </w:p>
    <w:p>
      <w:pPr>
        <w:pStyle w:val="Normal"/>
        <w:numPr>
          <w:ilvl w:val="0"/>
          <w:numId w:val="3"/>
        </w:numPr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мобильность;</w:t>
      </w:r>
    </w:p>
    <w:p>
      <w:pPr>
        <w:pStyle w:val="Normal"/>
        <w:numPr>
          <w:ilvl w:val="0"/>
          <w:numId w:val="3"/>
        </w:numPr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разноуровневость;</w:t>
      </w:r>
    </w:p>
    <w:p>
      <w:pPr>
        <w:pStyle w:val="Normal"/>
        <w:numPr>
          <w:ilvl w:val="0"/>
          <w:numId w:val="3"/>
        </w:numPr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реализация воспитательной функции обучения через активизацию деятельности обучающихся.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Цель программы: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приобщить детей к систематическим занятиям физической культурой и спортом, к здоровому образу жизни.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Задачи программы: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1. Укрепление здоровья и всестороннее физическое развитие детей и подростков.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2. Овладение воспитанниками спортивной техникой и тактикой футбола.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3. Воспитание высоких моральных и волевых качеств; развитие специальных физических качеств личности.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4. Приобретение практических навыков и теоретических знаний в области футбола, а также соблюдение общей и частной гигиены и осуществление самоконтроля.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5. Формирование потребности ведения здорового образа жизни.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6. Проведение профориентации.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Отличительные особенности программы: д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анная программа мало отличается от других, но все, же основное отличие в том, что наряду с технико-тактической подготовкой довольно большое место в программе отведено общефизической подготовке. Кроме того, в нее включен достаточно значительный блок теоретических знаний (в т.ч. судейская практика) из области футбола. Это сделано для расширения кругозора и интереса занимающихся к данному виду спорта.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Основными 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формами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учебного процесса в группах являются: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 теоретические и групповые практические занятия,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 соревнования, учебные, тренировочные и товарищеские  игры,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 педагогическое тестирование.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Основные 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методы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работы с детьми: словесный, наглядный, метод строго регламентированного упражнения, игровой, соревновательный.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u w:val="single"/>
          <w:lang w:eastAsia="ru-RU"/>
        </w:rPr>
        <w:t>Срок реализации дополнительной образовательной программы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– 1 год.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Данная программа предназначена для детей 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возраста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11– 16 лет.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u w:val="single"/>
          <w:lang w:eastAsia="ru-RU"/>
        </w:rPr>
        <w:t>Режим занятий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: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 в группах общей физической подготовки — не более 2 часов;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-в группах специальной физической подготовки — не более З часов;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Формы подведения итогов реализации программы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- промежуточная и итоговая аттестация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Занятия проводятся в форме физической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тренировки, теоретической подготовки, проведения культурно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 массовых мероприятий, соревнований, бесед, конкурсов, игр, помогающих развивать и осуществлять в полной мере технологии и идеи личностно-ориентированного образования. В ходе проведения занятий используется, в том числе и индивидуальный подход. На занятиях по возможности используются технические средства (видео, наглядные пособия и др.)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 данную программу заложены следующие принципы: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 принцип индивидуализации, предполагающий учет личных возможностей и способностей ребенка;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 принцип доступности, последовательности.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Отличительной особенностью содержания данной программы от программ специализированных спортивных школ является количество часов и  адаптация к клубным условиям работы на массовость, не на спортивное мастерство.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Педагог должен отвечать следующим требованиям: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 знание теории и практики футбола, возрастных основ теории спортивной тренировки, биомеханики, физиологии, психологии, педагогики и особенно -  спортивных игр;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 умение убеждать, увлекать детей;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 учет индивидуальных и возрастных особенностей ребенка;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 уважительное отношение к детям, забота о здоровье детей;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 применение на занятиях различных форм обучения, направленных на развитие обучающихся.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Данная программа создает условия для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приобретения общих (универсальных) способов действия (способностей и умений), позволяющих человеку понимать ситуацию, достигать результатов в разных видах  деятельности,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что составляет основу (сущность) компетентностного подхода в дополнительном образовании. Программа направлена на становление следующих  ключевых (сквозных) компетентностей: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        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 познавательная компетентность (способность к обучению в течение всей жизни как в личном профессиональном, так и в социальном аспекте; использование наблюдений, измерений, моделирования; комбинирование известных алгоритмов деятельности в ситуациях, не предполагающих стандартного их применения);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        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 коммуникативная компетентность (владение различными средствами устного общения; выбор адекватных ситуациям форм вербального и невербального общения, способов формирования и формулирования мысли; владение способами презентации себя и своей деятельности);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        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 организаторская компетентность (планирование и управление собственной деятельностью; владение навыками контроля и оценки деятельности; способность принимать ответственность за собственные действия; владение способами совместной деятельности).  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Программа обеспечивает становление ряда специальных компетентностей (способность быстрого реагирования и быстрого принятия решений в условиях дефицита времени, формирование базовой техники игровых приемов).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Основными показателями выполнения программных требований по уровню подготовленности учащихся являются: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 участие в соревнованиях по возрастной программе;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 выполнение контрольных нормативов по общей и специальной физической подготовке;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        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 овладение теоретическими знаниями и навыками;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        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 выполнение нормативных требований по присвоению спортивных разрядов.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Формой подведения итогов реализации дополнительной образовательной программы данной направленности являются соревнования и показательные выступления.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u w:val="single"/>
          <w:lang w:eastAsia="ru-RU"/>
        </w:rPr>
        <w:t>2. Содержание программы.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Содержание учебного плана второго года обучения.</w:t>
      </w:r>
    </w:p>
    <w:p>
      <w:pPr>
        <w:pStyle w:val="Normal"/>
        <w:numPr>
          <w:ilvl w:val="0"/>
          <w:numId w:val="4"/>
        </w:numPr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Техника безопасности во время учебно-тренировочных занятий.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Требования безопасности перед началом занятий. Требования безопасности во время занятий. Требования безопасности в аварийных ситуациях. Требования безопасности по окончании занятий.</w:t>
      </w:r>
    </w:p>
    <w:p>
      <w:pPr>
        <w:pStyle w:val="Normal"/>
        <w:numPr>
          <w:ilvl w:val="0"/>
          <w:numId w:val="4"/>
        </w:numPr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Теоретическая подготовка.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Состояние и развитие футбола в России. Профилактика травматизма. Общая характеристика спортивной подготовки. Основы техники игры и техническая подготовка. Основы тактики игры и тактическая подготовка. Физические качества и физическая подготовка.</w:t>
      </w:r>
    </w:p>
    <w:p>
      <w:pPr>
        <w:pStyle w:val="Normal"/>
        <w:numPr>
          <w:ilvl w:val="0"/>
          <w:numId w:val="4"/>
        </w:numPr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Физическая подготовка. ОФП: 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Упражнения для шеи и туловища. Наклоны, вращения, повороты головы. Упражнения для всех групп мышц. Упражнения для развития силы, ловкости, быстроты, выносливости. Повторный бег по дистанции от 30 до 100 м со старта и с ходу с максимальной скоростью. Бег по наклонной плоскости вниз. Общеразвивающие упражнения с широкой амплитудой движения. 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СФП: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Удары и пас мяча в ходьбе и беге, после поворота, падения. Удар мяча после отбора с попаданием в цель. Перемещения партнеров в парах лицом друг к другу, сохраняя расстояние между ними 2-3 м.</w:t>
      </w:r>
    </w:p>
    <w:p>
      <w:pPr>
        <w:pStyle w:val="Normal"/>
        <w:numPr>
          <w:ilvl w:val="0"/>
          <w:numId w:val="4"/>
        </w:numPr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Техническая подготовка. 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Обводка соперника. Ведение, остановка внутренней стороной стопы, подошвой грудью, передача мяча, удары по воротам внутренней частью стопы, внешней частью, удары серединой подъема. Удары по мячу головой, жонглирование мячом.</w:t>
      </w:r>
    </w:p>
    <w:p>
      <w:pPr>
        <w:pStyle w:val="Normal"/>
        <w:numPr>
          <w:ilvl w:val="0"/>
          <w:numId w:val="4"/>
        </w:numPr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Тактическая подготовка. 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Выход для получения и отвлечения мяча. Атака ворота. Заслон. Наведение. Пересечение. Треугольник. Тройка. Малая восьмерка. Подстраховка. Переключение. Противодействие атаке в ворота. Система личной защиты.</w:t>
      </w:r>
    </w:p>
    <w:p>
      <w:pPr>
        <w:pStyle w:val="Normal"/>
        <w:numPr>
          <w:ilvl w:val="0"/>
          <w:numId w:val="4"/>
        </w:numPr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Промежуточная и итоговая аттестация. 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Усвоение изученного материала. Результаты выступления на соревнованиях и индивидуальные игровые показатели. Выполнение контрольных упражнений по общей и специальной физической подготовке.</w:t>
      </w:r>
    </w:p>
    <w:p>
      <w:pPr>
        <w:pStyle w:val="Normal"/>
        <w:numPr>
          <w:ilvl w:val="0"/>
          <w:numId w:val="4"/>
        </w:numPr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Соревнования. 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Участие в соревнованиях на основании «Календаря спортивно-массовых мероприятий». Контрольные игры на учебно-тренировочных занятиях. Товарищеские встречи. «Кожаный мяч».</w:t>
      </w:r>
    </w:p>
    <w:p>
      <w:pPr>
        <w:pStyle w:val="Normal"/>
        <w:numPr>
          <w:ilvl w:val="0"/>
          <w:numId w:val="4"/>
        </w:numPr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Летняя оздоровительная работа. 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Участие в семинарах, мастер-классах, учебно-тренировочных сборах и соревнованиях.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u w:val="single"/>
          <w:lang w:eastAsia="ru-RU"/>
        </w:rPr>
        <w:t>3. Календарный график</w:t>
      </w:r>
    </w:p>
    <w:tbl>
      <w:tblPr>
        <w:tblW w:w="10179" w:type="dxa"/>
        <w:jc w:val="left"/>
        <w:tblInd w:w="-584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noVBand="1" w:val="04a0" w:noHBand="0" w:lastColumn="0" w:firstColumn="1" w:lastRow="0" w:firstRow="1"/>
      </w:tblPr>
      <w:tblGrid>
        <w:gridCol w:w="663"/>
        <w:gridCol w:w="1180"/>
        <w:gridCol w:w="532"/>
        <w:gridCol w:w="1196"/>
        <w:gridCol w:w="1021"/>
        <w:gridCol w:w="692"/>
        <w:gridCol w:w="1912"/>
        <w:gridCol w:w="1522"/>
        <w:gridCol w:w="1460"/>
      </w:tblGrid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Число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Время проведения занятия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Форма занятия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Тема занятий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Форма контроля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теория</w:t>
            </w:r>
          </w:p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Правила поведения. Техника безопасности. Правила игры.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Текущий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теория</w:t>
            </w:r>
          </w:p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Быстрое нападение. Игровое поле.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Соревнования.</w:t>
            </w:r>
          </w:p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теория</w:t>
            </w:r>
          </w:p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Правила игры.Защита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Быстрое нападение. Игровое поле.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Соревнования.</w:t>
            </w:r>
          </w:p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Закрепление быстрого нападения. Маневрирование.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Контрольно-переводные нормативы по этапам подготовки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Игровое поле. Маневрирование.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Соревнования.</w:t>
            </w:r>
          </w:p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Закрепление быстрого нападения.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теория</w:t>
            </w:r>
          </w:p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Резаные удары. Подстраховка.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Соревнования.</w:t>
            </w:r>
          </w:p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Резаные удары. Подстраховка.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Текущий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Закрепление резаных ударов. Закрепление подстраховки.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Текущий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Закрепление резаных ударов.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резаных ударов. Совершенствование подстраховки.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Контрольно-переводные нормативы по этапам подготовки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Теория 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Удар по опускающемуся мячу через голову. Переключение.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Текущий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Удар по опускающемуся мячу через голову. Переключение.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Соревнования.</w:t>
            </w:r>
          </w:p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Удар по опускающемуся мячу через голову.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Закрепление удара по опускающемуся мячу. Закрепление переключения.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Контрольно-переводные нормативы по этапам подготовки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Теория 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Удар носком. Удар серединой подъёма.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Соревнования.</w:t>
            </w:r>
          </w:p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Удар носком. Удар серединой подъёма.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Соревнования.</w:t>
            </w:r>
          </w:p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Закрепление удара носком.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Закрепление удара серединой подъёма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Текущий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удара носком. Совершенствование удара серединой подъёма.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Контрольно-переводные нормативы по этапам подготовки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Теория 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Ведение мяча внешней частью подъёма.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Ведение мяча внешней частью подъёма.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Ведение мяча внешней частью подъёма.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Закрепление ведения мяча внешней частью подъёма.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Текущий</w:t>
            </w:r>
          </w:p>
        </w:tc>
      </w:tr>
      <w:tr>
        <w:trPr>
          <w:trHeight w:val="615" w:hRule="atLeast"/>
        </w:trPr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Теория 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ведения мяча внешней частью подъёма.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Контрольно-переводные нормативы по этапам подготовки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Удар-откидка мяча подошвой.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Теория 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Ведение мяча серединой подъёма.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Удар-откидка мяча подошвой. Ведение мяча серединой подъёма.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Закрепление удара-откидки мяча подошвой. Закрепление ведения мяча серединой подъёма.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Текущий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Закрепление удара-откидки мяча подошвой. Закрепление ведения мяча серединой подъёма.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удара-откидки подошвой. Совершенствование ведения мяча серединой подъёма.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Контрольно-переводные нормативы по этапам подготовки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Теория 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Ведение мяча внутренней частью подъёма. Удар пяткой.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Ведение мяча внутренней частью подъёма. Удар пяткой.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Закрепление ведения мяча внутренней частью подъёма.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Закрепление удара пяткой.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Текущий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ведения мяча внутренней частью подъёма. Совершенствование удара пяткой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Контрольно-переводные нормативы по этапам подготовки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Теория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Удар-бросок стопой. Ведение внутренней стороной стопы.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Ведение внутренней стороной стопы.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Удар-бросок стопой. Ведение внутренней стороной стопы.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Закрепление удара-броска стопой. Закрепление ведения внутренней стороной стопы.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Текущий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удара-броска стопой. Совершенствование ведения внутренней стороной стопы.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ведения внутренней стороной стопы.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Теория</w:t>
            </w:r>
          </w:p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удара-броска стопой. Совершенствование ведения внутренней стороной стопы.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удара-броска стопой. Совершенствование ведения внутренней стороной стопы.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Закрепления приёма внутренней стороной стопы с переводом за спину.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Закрепление ведения мяча носком.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Закрепление ведения мяча носком. Закрепления приёма внутренней стороной стопы с переводом за спину.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Теория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Ведение мяча подошвой. Приём летящих на высоте бедра мячей внутренней стороной стопы.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Ведение мяча подошвой. Приём летящих на высоте бедра мячей внутренней стороной стопы.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Текущий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Приём летящих на высоте бедра мячей внутренней стороной стопы.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Закрепление ведения мяча подошвой. Закрепление приёма летящих на высоте бедра мячей внутренней стороной стопы.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ведения мяча подошвой. Совершенствование приёма летящих на высоте бедра мячей внутренней стороной стопы.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Контрольно-переводные нормативы по этапам подготовки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Приём опускающихся мячей серединой подъёма. Удар с лёту внутренней стороной стопы.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приёма летящих на высоте бедра мячей внутренней стороной стопы.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Теория 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Приём опускающихся мячей серединой подъёма. Удар с лёту внутренней стороной стопы.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Текущий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Закрепление приёма опускающихся мячей серединой подъёма. Закрепление удара с лёту внутренней стороной стопы.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приёма опускающихся мячей серединой подъёма. Совершенствование удару с лёту внутренней стороной стопы.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Контрольно-переводные нормативы по этапам подготовки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Удар с лёту серединой подъёма.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Теория 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Приём летящего на игрока мяча грудью. Удар с лёту серединой подъёма.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Текущий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Приём летящего на игрока мяча грудью. Удар с лёту серединой подъёма.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Закрепление приёма летящего на игрока мяча грудью. Закрепление удара с лёту серединой подъёма.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Удар с лёту серединой подъёма.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приёма летящего на игрока мяча грудью. Совершенствование удара слёту серединой подъёма.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Контрольно-переводные нормативы по этапам подготовки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Теория 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Приём опускающегося мяча бедром. Удар с лёту внешней частью подъёма.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Приём опускающегося мяча бедром. Удар с лёту внешней частью подъёма.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удара слёту серединой подъёма.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Закрепление приёма опускающегося мяча бедром. Закрепление удара с лёту внешней частью подъёма.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Текущий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приёма опускающегося мяча бедром. Совершенствование удара с лёту внешней частью подъёма.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Контрольно-переводные нормативы по этапам подготовки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Теория 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Финт «уходом». Групповые действия в обороне.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удара с лёту внешней частью подъёма.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Финт «уходом». Групповые действия в обороне.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Текущий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Закрепление финта «уходом». Закрепление групповых действий в обороне.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финта «уходом». Совершенствование групповых действий в обороне.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Текущий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финта «уходом».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финта «уходом». Совершенствование групповых действий в обороне.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Контрольно-переводные нормативы по этапам подготовки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Теория 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Финт «уходом с убиранием мяча внутренней частью подъёма». Подстраховка.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Текущий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Финт «уходом с убиранием мяча внутренней частью подъёма». Подстраховка.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Текущий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финт «уходом с убиранием мяча внутренней частью подъёма». Подстраховка.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Закрепление финта «уходом с убиранием мяча внутренней частью подъёма». Закрепление подстраховки.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Теория 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Закрепление финта «уходом с убиранием мяча внутренней частью подъёма». Закрепление подстраховки.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финта «уходом с убиранием мяча внутренней частью подъёма». Совершенствование подстраховки.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Контрольно-переводные нормативы по этапам подготовки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подстраховки.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Теория 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Финт «уходом с ложным замахом на удар». Комбинации «смена мест».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Финт «уходом с ложным замахом на удар». Комбинации «смена мест».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Закрепление финта «уходом с ложным замахом на удар». Закрепление комбинации «смена мест».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Текущий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комбинации «смена мест».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финта «уходом с ложным замахом на удар». Совершенствование комбинации «смена мест».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Контрольно-переводные нормативы по этапам подготовки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финта «уходом с ложным замахом на удар». Совершенствование комбинации «смена мест».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Теория 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Финт «остановка мяча подошвой». Комбинация «пропускание мяча».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комбинации «смена мест».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Финт «остановка мяча подошвой». Комбинация «пропускание мяча».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Закрепление финта «остановка мяча подошвой». Закрепление комбинации «пропускания мяча».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финта «остановка мяча подошвой».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Текущий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комбинации «смена мест».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финта «остановка мяча подошвой».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Контрольно-переводные нормативы по этапам подготовки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Теория 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Финт «убирание мяча подошвой».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Финт «убирание мяча подошвой».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комбинации «смена мест».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Закрепление финта «убирание мяча подошвой».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Текущий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Теория 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финта «убирание мяча подошвой».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Контрольно-переводные нормативы по этапам подготовки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Финт «проброс мяча мимо соперника».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комбинации «смена мест».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Финт «проброс мяча мимо соперника».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Теория 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Закрепление финта «проброс мяча мимо соперника».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финта «проброс мяча мимо соперника».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Текущий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индивидуальных действий без мяча в атаке «открывание».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финта «проброс мяча мимо соперника».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Контрольно-переводные нормативы по этапам подготовки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Теория 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Отбор мяча накладыванием стопы.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комбинации «смена мест».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Отбор мяча накладыванием стопы.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Закрепление отбора мяча накладыванием стопы.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отбора мяча накладыванием стопы.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Текущий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комбинации «смена мест».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отбора мяча накладыванием стопы.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Контрольно-переводные нормативы по этапам подготовки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Теори 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Отбор мяча выбиванием.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Отбор мяча выбиванием.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комбинации «смена мест».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Закрепление отбора мяча выбиванием.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Текущий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Закрепление отбора мяча выбиванием.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Текущий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отбора мяча выбиванием.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Контрольно-переводные нормативы по этапам подготовки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отбора мяча выбиванием.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Теория 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Отбор мяча перехватом.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Отбор мяча перехватом.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Закрепление отбора мяча перехватом.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Текущий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отбора мяча выбиванием.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отбора мяча перехватом.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Контрольно-переводные нормативы по этапам подготовки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Теория 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Индивидуальные действия без мяча в атаке «открывание».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Закрепление индивидуальных действий без мяча в атаке «открывание».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отбора мяча выбиванием.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индивидуальных действий без мяча в атаке «открывание».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Текущий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индивидуальных действий без мяча в атаке «открывание».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Контрольно-переводные нормативы по этапам подготовки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Теория 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«Отвлечение соперников». Действия обороняющегося против соперника без мяча.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индивидуальных действий без мяча в атаке «открывание».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«Отвлечение соперников». Действия обороняющегося против соперника без мяча.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Текущий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Закрепление «отвлечение соперников». Закрепление разбора игроков. Закрепление действий обороняющегося против соперника без мяча.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Закрепление действий обороняющегося против соперника без мяча.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спортплощадка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«отвлечения соперников». Совершенствование действий обороняющегося против соперника без мяча.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спортплощадка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Текущий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«отвлечения соперников». Совершенствование действий обороняющегося против соперника без мяча.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спортплощадка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Контрольно-переводные нормативы по этапам подготовки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Теория 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Создание численного преимущества в отдельных зонах игрового поля. Комбинация «игра в одно касания»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спортплощадка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Создание численного преимущества в отдельных зонах игрового поля. Комбинация «игра в одно касания»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спортплощадка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Закрепление создания преимущества в отдельных зонах игрового поля. Закрепление комбинации «игра в одно касание».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спортплощадка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создания преимущества в отдельных зонах игрового поля, «игра в одно касание».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спортплощадка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Текущий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создания преимущества в отдельных зонах игрового поля, «игра в одно касание».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спортплощадка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создания преимущества в отдельных зонах игрового поля, «игра в одно касание».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спортплощадка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Контрольно-переводные нормативы по этапам подготовки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Теория 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комбинации технике футбола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спортплощадка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Текущий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комбинации технике футбола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спортплощадка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Совершенствование комбинации технике футбола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спортплощадка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Промежуточная итоговая аттестация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спортплощадка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Итоговое контрольное тестирование</w:t>
            </w:r>
          </w:p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Игра футбол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Комбинационная игра футбол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спортплощадка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Игра футбол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спортплощадка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  <w:tr>
        <w:trPr/>
        <w:tc>
          <w:tcPr>
            <w:tcW w:w="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1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5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16.00-18.30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Игра футбол</w:t>
            </w:r>
          </w:p>
        </w:tc>
        <w:tc>
          <w:tcPr>
            <w:tcW w:w="1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спортплощадка</w:t>
            </w:r>
          </w:p>
        </w:tc>
        <w:tc>
          <w:tcPr>
            <w:tcW w:w="1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</w:tr>
    </w:tbl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u w:val="single"/>
          <w:lang w:eastAsia="ru-RU"/>
        </w:rPr>
        <w:t>5. Диагностический инструментарий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КОНТРОЛЬНЫЕ НОРМАТИВНЫЕ ТРЕБОВАНИЯ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Упражнения оцениваются по бальной системе: 5,4,3 балла, все результаты ниже 3х баллов оцениваются 2 балла. Спортсмену сдающему комплекс контрольных нормативов ОФП в зачет идут результаты четырех тестов, итоговая сумма очков определяется четырьмя уровнями подготовленности: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Отлично: от 18-20 баллов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Хорошо: от 15-17 баллов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Удовлетворительно: от 12-14 баллов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Неудовлетворительно: от 11 и ниже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ЮНОШИ</w:t>
      </w:r>
    </w:p>
    <w:tbl>
      <w:tblPr>
        <w:tblW w:w="9505" w:type="dxa"/>
        <w:jc w:val="left"/>
        <w:tblInd w:w="100" w:type="dxa"/>
        <w:tblLayout w:type="fixed"/>
        <w:tblCellMar>
          <w:top w:w="0" w:type="dxa"/>
          <w:left w:w="115" w:type="dxa"/>
          <w:bottom w:w="0" w:type="dxa"/>
          <w:right w:w="43" w:type="dxa"/>
        </w:tblCellMar>
        <w:tblLook w:noVBand="1" w:val="04a0" w:noHBand="0" w:lastColumn="0" w:firstColumn="1" w:lastRow="0" w:firstRow="1"/>
      </w:tblPr>
      <w:tblGrid>
        <w:gridCol w:w="480"/>
        <w:gridCol w:w="2771"/>
        <w:gridCol w:w="986"/>
        <w:gridCol w:w="591"/>
        <w:gridCol w:w="592"/>
        <w:gridCol w:w="518"/>
        <w:gridCol w:w="518"/>
        <w:gridCol w:w="518"/>
        <w:gridCol w:w="518"/>
        <w:gridCol w:w="518"/>
        <w:gridCol w:w="518"/>
        <w:gridCol w:w="458"/>
        <w:gridCol w:w="518"/>
      </w:tblGrid>
      <w:tr>
        <w:trPr/>
        <w:tc>
          <w:tcPr>
            <w:tcW w:w="480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№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771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Упражнения</w:t>
            </w:r>
          </w:p>
        </w:tc>
        <w:tc>
          <w:tcPr>
            <w:tcW w:w="986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оц ен ка</w:t>
            </w:r>
          </w:p>
        </w:tc>
        <w:tc>
          <w:tcPr>
            <w:tcW w:w="118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color="auto" w:fill="FFFFFF" w:val="clear"/>
            <w:tcMar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518" w:type="dxa"/>
            <w:tcBorders>
              <w:top w:val="single" w:sz="6" w:space="0" w:color="000001"/>
              <w:bottom w:val="single" w:sz="6" w:space="0" w:color="000001"/>
            </w:tcBorders>
            <w:shd w:color="auto" w:fill="FFFFFF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518" w:type="dxa"/>
            <w:tcBorders>
              <w:top w:val="single" w:sz="6" w:space="0" w:color="000001"/>
              <w:bottom w:val="single" w:sz="6" w:space="0" w:color="000001"/>
            </w:tcBorders>
            <w:shd w:color="auto" w:fill="FFFFFF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518" w:type="dxa"/>
            <w:tcBorders>
              <w:top w:val="single" w:sz="6" w:space="0" w:color="000001"/>
              <w:bottom w:val="single" w:sz="6" w:space="0" w:color="000001"/>
            </w:tcBorders>
            <w:shd w:color="auto" w:fill="FFFFFF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518" w:type="dxa"/>
            <w:tcBorders>
              <w:top w:val="single" w:sz="6" w:space="0" w:color="000001"/>
              <w:bottom w:val="single" w:sz="6" w:space="0" w:color="000001"/>
            </w:tcBorders>
            <w:shd w:color="auto" w:fill="FFFFFF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518" w:type="dxa"/>
            <w:tcBorders>
              <w:top w:val="single" w:sz="6" w:space="0" w:color="000001"/>
              <w:bottom w:val="single" w:sz="6" w:space="0" w:color="000001"/>
            </w:tcBorders>
            <w:shd w:color="auto" w:fill="FFFFFF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518" w:type="dxa"/>
            <w:tcBorders>
              <w:top w:val="single" w:sz="6" w:space="0" w:color="000001"/>
              <w:bottom w:val="single" w:sz="6" w:space="0" w:color="000001"/>
            </w:tcBorders>
            <w:shd w:color="auto" w:fill="FFFFFF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58" w:type="dxa"/>
            <w:tcBorders>
              <w:top w:val="single" w:sz="6" w:space="0" w:color="000001"/>
              <w:bottom w:val="single" w:sz="6" w:space="0" w:color="000001"/>
            </w:tcBorders>
            <w:shd w:color="auto" w:fill="FFFFFF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518" w:type="dxa"/>
            <w:tcBorders>
              <w:top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  <w:tcMar>
              <w:left w:w="0" w:type="dxa"/>
            </w:tcMar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480" w:type="dxa"/>
            <w:vMerge w:val="continue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71" w:type="dxa"/>
            <w:vMerge w:val="continue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86" w:type="dxa"/>
            <w:vMerge w:val="continue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5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7-8</w:t>
            </w:r>
          </w:p>
        </w:tc>
        <w:tc>
          <w:tcPr>
            <w:tcW w:w="5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17</w:t>
            </w:r>
          </w:p>
        </w:tc>
      </w:tr>
      <w:tr>
        <w:trPr>
          <w:trHeight w:val="825" w:hRule="atLeast"/>
        </w:trPr>
        <w:tc>
          <w:tcPr>
            <w:tcW w:w="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Бег 30 метров, сек</w:t>
            </w:r>
          </w:p>
        </w:tc>
        <w:tc>
          <w:tcPr>
            <w:tcW w:w="9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6,5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7,0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5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6,2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6,7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7,2</w:t>
            </w:r>
          </w:p>
        </w:tc>
        <w:tc>
          <w:tcPr>
            <w:tcW w:w="5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5,9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6,4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6,8</w:t>
            </w:r>
          </w:p>
        </w:tc>
        <w:tc>
          <w:tcPr>
            <w:tcW w:w="5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5,6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6,1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6,6</w:t>
            </w:r>
          </w:p>
        </w:tc>
        <w:tc>
          <w:tcPr>
            <w:tcW w:w="5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5,3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5,8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5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5,0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5,5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5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4,7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5,2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5,8</w:t>
            </w:r>
          </w:p>
        </w:tc>
        <w:tc>
          <w:tcPr>
            <w:tcW w:w="5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4,4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4,9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5,4</w:t>
            </w:r>
          </w:p>
        </w:tc>
        <w:tc>
          <w:tcPr>
            <w:tcW w:w="4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4,2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4,7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5,2</w:t>
            </w:r>
          </w:p>
        </w:tc>
        <w:tc>
          <w:tcPr>
            <w:tcW w:w="5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4,0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4,5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5,0</w:t>
            </w:r>
          </w:p>
        </w:tc>
      </w:tr>
      <w:tr>
        <w:trPr>
          <w:trHeight w:val="1095" w:hRule="atLeast"/>
        </w:trPr>
        <w:tc>
          <w:tcPr>
            <w:tcW w:w="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Прыжок в длину, см</w:t>
            </w:r>
          </w:p>
        </w:tc>
        <w:tc>
          <w:tcPr>
            <w:tcW w:w="9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160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150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5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170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160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5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180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170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5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190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180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5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200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190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5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210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200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5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220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210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5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230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220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4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24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23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250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240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230</w:t>
            </w:r>
          </w:p>
        </w:tc>
      </w:tr>
      <w:tr>
        <w:trPr>
          <w:trHeight w:val="540" w:hRule="atLeast"/>
        </w:trPr>
        <w:tc>
          <w:tcPr>
            <w:tcW w:w="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5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5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5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5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5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5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5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5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22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>
          <w:trHeight w:val="825" w:hRule="atLeast"/>
        </w:trPr>
        <w:tc>
          <w:tcPr>
            <w:tcW w:w="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Челночный бег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 х 10 м, сек</w:t>
            </w:r>
          </w:p>
        </w:tc>
        <w:tc>
          <w:tcPr>
            <w:tcW w:w="9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8,1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8,4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8,8</w:t>
            </w:r>
          </w:p>
        </w:tc>
        <w:tc>
          <w:tcPr>
            <w:tcW w:w="5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7,9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8,3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8,7</w:t>
            </w:r>
          </w:p>
        </w:tc>
        <w:tc>
          <w:tcPr>
            <w:tcW w:w="5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7,7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8,1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8,5</w:t>
            </w:r>
          </w:p>
        </w:tc>
        <w:tc>
          <w:tcPr>
            <w:tcW w:w="5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7,5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7,9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5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7,3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7,7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8,1</w:t>
            </w:r>
          </w:p>
        </w:tc>
        <w:tc>
          <w:tcPr>
            <w:tcW w:w="5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7,1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7,5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7,9</w:t>
            </w:r>
          </w:p>
        </w:tc>
        <w:tc>
          <w:tcPr>
            <w:tcW w:w="5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7,0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7,4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7,8</w:t>
            </w:r>
          </w:p>
        </w:tc>
        <w:tc>
          <w:tcPr>
            <w:tcW w:w="5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6,8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7,2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7,6</w:t>
            </w:r>
          </w:p>
        </w:tc>
        <w:tc>
          <w:tcPr>
            <w:tcW w:w="4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6,6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7,0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7,4</w:t>
            </w:r>
          </w:p>
        </w:tc>
        <w:tc>
          <w:tcPr>
            <w:tcW w:w="5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6,5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6,9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7,3</w:t>
            </w:r>
          </w:p>
        </w:tc>
      </w:tr>
      <w:tr>
        <w:trPr>
          <w:trHeight w:val="810" w:hRule="atLeast"/>
        </w:trPr>
        <w:tc>
          <w:tcPr>
            <w:tcW w:w="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Подтягивание, кол-во раз</w:t>
            </w:r>
          </w:p>
        </w:tc>
        <w:tc>
          <w:tcPr>
            <w:tcW w:w="9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12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14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12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14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18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20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18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22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20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24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22</w:t>
            </w:r>
          </w:p>
          <w:p>
            <w:pPr>
              <w:pStyle w:val="Normal"/>
              <w:widowControl w:val="false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</w:tr>
    </w:tbl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u w:val="single"/>
          <w:lang w:eastAsia="ru-RU"/>
        </w:rPr>
        <w:t>5. Методическое обеспечение программы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Словесные методы:</w:t>
      </w:r>
    </w:p>
    <w:p>
      <w:pPr>
        <w:pStyle w:val="Normal"/>
        <w:numPr>
          <w:ilvl w:val="0"/>
          <w:numId w:val="5"/>
        </w:numPr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Описание</w:t>
      </w:r>
    </w:p>
    <w:p>
      <w:pPr>
        <w:pStyle w:val="Normal"/>
        <w:numPr>
          <w:ilvl w:val="0"/>
          <w:numId w:val="5"/>
        </w:numPr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Объяснение</w:t>
      </w:r>
    </w:p>
    <w:p>
      <w:pPr>
        <w:pStyle w:val="Normal"/>
        <w:numPr>
          <w:ilvl w:val="0"/>
          <w:numId w:val="5"/>
        </w:numPr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Рассказ</w:t>
      </w:r>
    </w:p>
    <w:p>
      <w:pPr>
        <w:pStyle w:val="Normal"/>
        <w:numPr>
          <w:ilvl w:val="0"/>
          <w:numId w:val="5"/>
        </w:numPr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Разбор</w:t>
      </w:r>
    </w:p>
    <w:p>
      <w:pPr>
        <w:pStyle w:val="Normal"/>
        <w:numPr>
          <w:ilvl w:val="0"/>
          <w:numId w:val="5"/>
        </w:numPr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Указание</w:t>
      </w:r>
    </w:p>
    <w:p>
      <w:pPr>
        <w:pStyle w:val="Normal"/>
        <w:numPr>
          <w:ilvl w:val="0"/>
          <w:numId w:val="5"/>
        </w:numPr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Команды и распоряжения</w:t>
      </w:r>
    </w:p>
    <w:p>
      <w:pPr>
        <w:pStyle w:val="Normal"/>
        <w:numPr>
          <w:ilvl w:val="0"/>
          <w:numId w:val="5"/>
        </w:numPr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Подсчёт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Наглядные методы:</w:t>
      </w:r>
    </w:p>
    <w:p>
      <w:pPr>
        <w:pStyle w:val="Normal"/>
        <w:numPr>
          <w:ilvl w:val="0"/>
          <w:numId w:val="6"/>
        </w:numPr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Показ упражнений и техники футбольных приёмов</w:t>
      </w:r>
    </w:p>
    <w:p>
      <w:pPr>
        <w:pStyle w:val="Normal"/>
        <w:numPr>
          <w:ilvl w:val="0"/>
          <w:numId w:val="6"/>
        </w:numPr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Использование учебных наглядных пособий</w:t>
      </w:r>
    </w:p>
    <w:p>
      <w:pPr>
        <w:pStyle w:val="Normal"/>
        <w:numPr>
          <w:ilvl w:val="0"/>
          <w:numId w:val="6"/>
        </w:numPr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Видеофильмы, DVD, слайды</w:t>
      </w:r>
    </w:p>
    <w:p>
      <w:pPr>
        <w:pStyle w:val="Normal"/>
        <w:numPr>
          <w:ilvl w:val="0"/>
          <w:numId w:val="6"/>
        </w:numPr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Жестикуляции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Практические методы:</w:t>
      </w:r>
    </w:p>
    <w:p>
      <w:pPr>
        <w:pStyle w:val="Normal"/>
        <w:numPr>
          <w:ilvl w:val="0"/>
          <w:numId w:val="7"/>
        </w:numPr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Метод упражнений</w:t>
      </w:r>
    </w:p>
    <w:p>
      <w:pPr>
        <w:pStyle w:val="Normal"/>
        <w:numPr>
          <w:ilvl w:val="0"/>
          <w:numId w:val="7"/>
        </w:numPr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Метод разучивания по частям</w:t>
      </w:r>
    </w:p>
    <w:p>
      <w:pPr>
        <w:pStyle w:val="Normal"/>
        <w:numPr>
          <w:ilvl w:val="0"/>
          <w:numId w:val="7"/>
        </w:numPr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Метод разучивания в целом</w:t>
      </w:r>
    </w:p>
    <w:p>
      <w:pPr>
        <w:pStyle w:val="Normal"/>
        <w:numPr>
          <w:ilvl w:val="0"/>
          <w:numId w:val="7"/>
        </w:numPr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Соревновательный метод</w:t>
      </w:r>
    </w:p>
    <w:p>
      <w:pPr>
        <w:pStyle w:val="Normal"/>
        <w:numPr>
          <w:ilvl w:val="0"/>
          <w:numId w:val="7"/>
        </w:numPr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Игровой метод</w:t>
      </w:r>
    </w:p>
    <w:p>
      <w:pPr>
        <w:pStyle w:val="Normal"/>
        <w:numPr>
          <w:ilvl w:val="0"/>
          <w:numId w:val="7"/>
        </w:numPr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Непосредственная помощь тренера-преподавателя.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Основные средства обучения:</w:t>
      </w:r>
    </w:p>
    <w:p>
      <w:pPr>
        <w:pStyle w:val="Normal"/>
        <w:numPr>
          <w:ilvl w:val="0"/>
          <w:numId w:val="8"/>
        </w:numPr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Упражнения для изучения техники, тактики футбола и совершенствование в ней</w:t>
      </w:r>
    </w:p>
    <w:p>
      <w:pPr>
        <w:pStyle w:val="Normal"/>
        <w:numPr>
          <w:ilvl w:val="0"/>
          <w:numId w:val="8"/>
        </w:numPr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Общефизические упражнения</w:t>
      </w:r>
    </w:p>
    <w:p>
      <w:pPr>
        <w:pStyle w:val="Normal"/>
        <w:numPr>
          <w:ilvl w:val="0"/>
          <w:numId w:val="8"/>
        </w:numPr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Специальные физические упражнения</w:t>
      </w:r>
    </w:p>
    <w:p>
      <w:pPr>
        <w:pStyle w:val="Normal"/>
        <w:numPr>
          <w:ilvl w:val="0"/>
          <w:numId w:val="8"/>
        </w:numPr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Игровая практика.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Ожидаемый результат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 конце изучения рабочей программы планируется снижение уровня заболеваемости детей, социальной адаптации учащихся, сформирование коммуникативных способностей, то есть умение играть в команде. Формирование здорового образа жизни учащихся, участие в общешкольных, районных мероприятиях, качественное освоение практических и теоретических навыков игры футбол.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Планируемые результаты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освоения обучающимися программы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 процессе обучения и воспитания собственных установок, потребностей в значимой мотивации на соблюдение норм и правил здорового образа жизни, культуры здоровья у обучающихся формируются познавательные, личностные, регулятивные, коммуникативные универсальные учебные действия.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Основная образовательная программа учреждения предусматривает достижение следующих результатов образования:</w:t>
      </w:r>
    </w:p>
    <w:p>
      <w:pPr>
        <w:pStyle w:val="Normal"/>
        <w:numPr>
          <w:ilvl w:val="0"/>
          <w:numId w:val="9"/>
        </w:numPr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личностные результаты – готовность и способность обучающихся к саморазвитию, сформированность мотивации к учению и познанию; сформированность основ российской, гражданской идентичности;</w:t>
      </w:r>
    </w:p>
    <w:p>
      <w:pPr>
        <w:pStyle w:val="Normal"/>
        <w:numPr>
          <w:ilvl w:val="0"/>
          <w:numId w:val="9"/>
        </w:numPr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метапредметные результаты – освоенные обучающимися универсальные учебные действия (познавательные, регулятивные и коммуникативные);</w:t>
      </w:r>
    </w:p>
    <w:p>
      <w:pPr>
        <w:pStyle w:val="Normal"/>
        <w:numPr>
          <w:ilvl w:val="0"/>
          <w:numId w:val="9"/>
        </w:numPr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предметные результаты – освоенный обучающимися в ходе изучения учебных предметов опыт специфической для каждой предметной области деятельности по получению нового знания, его преобразованию и применению, а также система основополагающих элементов научного знания, лежащая в основе современной научной картины мира.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Первостепенным результатом реализации программы будет сознательное отношение обучающихся к собственному здоровью.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Формы подведения итогов реализации дополнительной образовательной программы:</w:t>
      </w:r>
    </w:p>
    <w:p>
      <w:pPr>
        <w:pStyle w:val="Normal"/>
        <w:numPr>
          <w:ilvl w:val="0"/>
          <w:numId w:val="10"/>
        </w:numPr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Тестирование</w:t>
      </w:r>
    </w:p>
    <w:p>
      <w:pPr>
        <w:pStyle w:val="Normal"/>
        <w:numPr>
          <w:ilvl w:val="0"/>
          <w:numId w:val="10"/>
        </w:numPr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Контрольно-переводные нормативы по этапам подготовки</w:t>
      </w:r>
    </w:p>
    <w:p>
      <w:pPr>
        <w:pStyle w:val="Normal"/>
        <w:numPr>
          <w:ilvl w:val="0"/>
          <w:numId w:val="10"/>
        </w:numPr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Соревнования.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Успешная подготовка баскетболиста высокой квалификации возможна только при условии тесной преемственности каждого этапа обучения спортсмена.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 итоге каждого этапа тренировки проводится отбор, задачей которого является оценка уровня развития тех сторон физической и специальной подготовленности, на совершенствование которых был направлен учебно-тренировочный процесс на этом этапе, а также прогнозирование успеха на следующем этапе.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u w:val="single"/>
          <w:lang w:eastAsia="ru-RU"/>
        </w:rPr>
        <w:t>6.Условия реализации программы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Для реализации данной программы необходимы: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Для реализации программы необходимы иметь один спорт зал, спортплощадку и футбольное поле; Необходимо оснащение физкультурных залов необходимыми оборудованиями чтобы реализовывать проведению секцию по футболу. Спортивные залы школы постоянно должны пополнятся новыми оборудованиями. Комплект спортивного инвентаря для занятий футболом: Футбольные мячи, ворота, сетки, свисток, секундомер, наглядное пособие, маты гимнастические, козёл гимнастический, канат для перетягивания, скамейки гимнастические, стойка для прыжков в высоту и т.д. Для проведения секции футбол иметь педагога-дополнительного образования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u w:val="single"/>
          <w:lang w:eastAsia="ru-RU"/>
        </w:rPr>
        <w:t>ФОРМЫ ОРГАНИЗАЦИИ ЗАНЯТИЙ -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Основными формами учебно-тренировочного процесса являются: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 Групповые учебно-тренировочные занятия.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 Групповые и индивидуальные теоретические занятия.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 Восстановительные мероприятия. - Участие в матчевых встречах.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 Участие в соревнованиях.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 Зачеты, тестирования.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 Конкурсы, викторины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u w:val="single"/>
          <w:lang w:eastAsia="ru-RU"/>
        </w:rPr>
        <w:t>ФОРМЫ ПОДВЕДЕНИЯ ИТОГОВ РЕАЛИЗАЦИИ ДОПОЛНИТЕЛЬНОЙ ОБРАЗОВАТЕЛЬНОЙ ПРОГРАММЫ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1.Сдача контрольных и контрольно-переводных нормативов общей, специальной физической, технической подготовленности обучающихся (для групп начальной подготовки).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2.Викторины по типу: «Веселые старты», «День здоровья».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3.Контрольные и товарищеские игры.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4.Первенства школы, города. Прием контрольных нормативов (промежуточная и итоговая аттестация обучающихся) проводится два раза в год: вначале учебного года (ноябрь) и в конце учебного года (апрель).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Рекомендуемый режим занятий: 1 год обучения: 4 раза в неделю по 3 часа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u w:val="single"/>
          <w:lang w:eastAsia="ru-RU"/>
        </w:rPr>
        <w:t>ОРГАНИЗАЦИОННО-ВОСПТИТАТЕЛЬНЫЕ МЕРОПРИЯТИЯ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Личностное развитие детей - одна из основных задач учреждений дополнительного образования. Высокий профессионализм педагога способствует формированию у ребенка способности выстраивать свою жизнь в границах достойной жизни достойного человека. Специфика воспитательной работы в школе состоит в том, что педагог дополнительного образования может проводить ее во время учебно- тренировочных занятий и дополнительно на спортивных мероприятиях школы.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Воспитательные средства: - личный пример и педагогическое мастерство педагога;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 высокая организация учебно-тренировочного процесса;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 атмосфера трудолюбия, взаимопомощи, творчества;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 дружный коллектив; - система морального стимулирования;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 наставничество старших. Основные организационно-воспитательные мероприятия: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 беседы с обучающимися (об истории Региона, истории спорта, РТ о здоровом образе жизни и т.д.);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 анкетирование обучающихся и родителей;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 встречи с выдающимися спортсменами;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 посещение спортивных праздников и соревнований школьного, районного и региональных уровней;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 регулярное подведение итогов спортивной деятельности обучающихся.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Ожидаемые результаты освоения программы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Обучающийся будет: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u w:val="single"/>
          <w:lang w:eastAsia="ru-RU"/>
        </w:rPr>
        <w:t>Будут знать: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работу сердечнососудистой системы,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понятие о телосложении человека;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Основные правила игры в футбол.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Какие бывают нарушения правил.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Жесты судей;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гигиенические требования к одежде и обуви для занятий физическими упражнениями; способы подсчета пульса.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Способы регулирования и контроля физических нагрузок во время занятий физическими упражнениями.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u w:val="single"/>
          <w:lang w:eastAsia="ru-RU"/>
        </w:rPr>
        <w:t>Будут уметь: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выполнять передачу партнеру. Передачу мяча сбоку; выполнять приемы обыгрывания защитника: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Ведение, остановка внутренней стороной стопы, подошвой грудью, передача мяча, удары по воротам внутренней частью стопы, внешней частью, удары серединой подъема. Удары по мячу головой, жонглирование мячом..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Перехват. Накрывание; применять в игре командное нападение. Взаимодействовать, а так же применять индивидуальные, групповые и командные действия в защите в игре 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Использовать: приобретенные знания и умения в практической и игровой деятельности, в повседневной жизни для включения занятий спортом в активный отдых и досуг.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Учащиеся будут уметь демонстрировать удары поворотам с расстояния 11 м.;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Symbol" w:cs="Symbol" w:ascii="Symbol" w:hAnsi="Symbol"/>
          <w:sz w:val="24"/>
          <w:szCs w:val="24"/>
          <w:lang w:eastAsia="ru-RU"/>
        </w:rPr>
        <w:t>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удары со средних и дальних дистанций;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Symbol" w:cs="Symbol" w:ascii="Symbol" w:hAnsi="Symbol"/>
          <w:sz w:val="24"/>
          <w:szCs w:val="24"/>
          <w:lang w:eastAsia="ru-RU"/>
        </w:rPr>
        <w:t>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удары по воротам после ведения;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Symbol" w:cs="Symbol" w:ascii="Symbol" w:hAnsi="Symbol"/>
          <w:sz w:val="24"/>
          <w:szCs w:val="24"/>
          <w:lang w:eastAsia="ru-RU"/>
        </w:rPr>
        <w:t>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передачи мяча в парах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;</w:t>
      </w:r>
      <w:r>
        <w:rPr>
          <w:rFonts w:eastAsia="Symbol" w:cs="Symbol" w:ascii="Symbol" w:hAnsi="Symbol"/>
          <w:sz w:val="24"/>
          <w:szCs w:val="24"/>
          <w:lang w:eastAsia="ru-RU"/>
        </w:rPr>
        <w:t>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передачи мяча в движении;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Symbol" w:cs="Symbol" w:ascii="Symbol" w:hAnsi="Symbol"/>
          <w:sz w:val="24"/>
          <w:szCs w:val="24"/>
          <w:lang w:eastAsia="ru-RU"/>
        </w:rPr>
        <w:t>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обводка стоек;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Symbol" w:cs="Symbol" w:ascii="Symbol" w:hAnsi="Symbol"/>
          <w:sz w:val="24"/>
          <w:szCs w:val="24"/>
          <w:lang w:eastAsia="ru-RU"/>
        </w:rPr>
        <w:t>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штрафной удар.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Symbol" w:cs="Symbol" w:ascii="Symbol" w:hAnsi="Symbol"/>
          <w:sz w:val="24"/>
          <w:szCs w:val="24"/>
          <w:lang w:eastAsia="ru-RU"/>
        </w:rPr>
        <w:t>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 спортивно-оздоровительном этапе подготовки юных футболистов основные задачи и преимущественная направленность учебно- тренировочного процесса следующие: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1. привлечение максимально возможного количества детей и подростков к систематическим занятиям физической культурой и выбранным видом спорта – футболом;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2. утверждение здорового образа жизни;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3. всестороннее гармоническое развитие физических способностей, укрепление здоровья, закаливание организма;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4. овладение основами футбола;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5. отбор способных к занятиям футболу детей.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 конец учебного года основными показателями выполнения требований программы на СФП являются: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· стабильность состава обучающихся, посещаемость ими учебно- тренировочных занятий;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· стабильное развитие общей физической подготовки обучающихся;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· уровень освоения основ техники футбола;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· уровень освоения основ знаний в области гигиены и первой медицинской помощи, а также овладения теоретическими основами физической культуры и навыков самоконтроля.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Тренер должен регулярно следить за успеваемостью своих воспитанников в общеобразовательной школе, поддерживать контакт с родителями, учителями-предметниками и классными руководителями. По окончании годичного цикла подготовки обучающиеся должны выполнить требования физической подготовленности согласно программных требований.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ListParagraph"/>
        <w:numPr>
          <w:ilvl w:val="1"/>
          <w:numId w:val="7"/>
        </w:numPr>
        <w:shd w:val="clear" w:color="auto" w:fill="FFFFFF"/>
        <w:spacing w:lineRule="auto" w:line="240" w:before="0" w:after="150"/>
        <w:contextualSpacing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u w:val="single"/>
          <w:lang w:eastAsia="ru-RU"/>
        </w:rPr>
        <w:t>Список литературы, используемый педагогом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1. В.И.Губа,А.В.Лексаков «Теория и методика футбола» Уч.: Sport М:2016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2. А.В. Шишкина, О.П.Алимпиева, Л.В.Брехов «Физическая культура» 1-2 классы. Учебник для общеобразовательных учреждений. М: АКАДЕМКНИКА/УЧЕБНИК, 2013г.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3. А.В. Шишкина, О.П.Алимпиева, Л.В.Брехов «Физическая культура» 3-4 классы. Учебник для общеобразовательных учреждений. М: АКАДЕМКНИКА/УЧЕБНИК, 2013г.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4. М.Я. Виленский «Физическая культура» 5-6-7 классы. Учебник для общеобразовательных учреждений. М: «Просвещение», 2013г.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5. В.И.Лях, А.А.Зданевич «Физическая культура» 8-9 классы. Учебник для общеобразовательных учреждений. М: «Просвещение», 2012г.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6. В.И.Лях, А.А.Зданевич «Физическая культура» 10-11 классы. Учебник для общеобразовательных учреждений. М: «Просвещение», 2012г</w:t>
      </w:r>
    </w:p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hyperlink r:id="rId2">
        <w:r>
          <w:rPr>
            <w:rFonts w:eastAsia="Times New Roman" w:cs="Times New Roman" w:ascii="Times New Roman" w:hAnsi="Times New Roman"/>
            <w:color w:val="auto"/>
            <w:sz w:val="24"/>
            <w:szCs w:val="24"/>
            <w:lang w:eastAsia="ru-RU"/>
          </w:rPr>
          <w:t>http://rgfootball.net/viewforum.php?f=43</w:t>
        </w:r>
      </w:hyperlink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 http://knigukupi.ru/top-pro_futbol.php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Open Sans">
    <w:charset w:val="01"/>
    <w:family w:val="roman"/>
    <w:pitch w:val="variable"/>
  </w:font>
  <w:font w:name="Symbol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auto"/>
    <w:pitch w:val="default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7"/>
      <w:numFmt w:val="decimal"/>
      <w:lvlText w:val="%2."/>
      <w:lvlJc w:val="left"/>
      <w:pPr>
        <w:tabs>
          <w:tab w:val="num" w:pos="0"/>
        </w:tabs>
        <w:ind w:left="1440" w:hanging="360"/>
      </w:pPr>
      <w:rPr>
        <w:u w:val="single"/>
        <w:b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3581f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4" w:customStyle="1">
    <w:name w:val="Основной текст (4)"/>
    <w:basedOn w:val="DefaultParagraphFont"/>
    <w:qFormat/>
    <w:rsid w:val="00bc184e"/>
    <w:rPr>
      <w:rFonts w:ascii="Times New Roman" w:hAnsi="Times New Roman" w:cs="Times New Roman"/>
      <w:b/>
      <w:bCs/>
      <w:strike w:val="false"/>
      <w:dstrike w:val="false"/>
      <w:sz w:val="17"/>
      <w:szCs w:val="17"/>
      <w:u w:val="none"/>
      <w:effect w:val="none"/>
      <w:shd w:fill="FFFFFF" w:val="clear"/>
    </w:rPr>
  </w:style>
  <w:style w:type="character" w:styleId="Style14">
    <w:name w:val="Интернет-ссылка"/>
    <w:basedOn w:val="DefaultParagraphFont"/>
    <w:uiPriority w:val="99"/>
    <w:unhideWhenUsed/>
    <w:rsid w:val="007679cc"/>
    <w:rPr>
      <w:color w:val="0000FF" w:themeColor="hyperlink"/>
      <w:u w:val="single"/>
    </w:rPr>
  </w:style>
  <w:style w:type="character" w:styleId="Style15" w:customStyle="1">
    <w:name w:val="Текст выноски Знак"/>
    <w:basedOn w:val="DefaultParagraphFont"/>
    <w:link w:val="a6"/>
    <w:uiPriority w:val="99"/>
    <w:semiHidden/>
    <w:qFormat/>
    <w:rsid w:val="00227695"/>
    <w:rPr>
      <w:rFonts w:ascii="Tahoma" w:hAnsi="Tahoma" w:cs="Tahoma"/>
      <w:sz w:val="16"/>
      <w:szCs w:val="16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Open Sans" w:hAnsi="Open Sans" w:eastAsia="WenQuanYi Micro Hei" w:cs="Lohit Devanagari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Lohit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NormalWeb">
    <w:name w:val="Normal (Web)"/>
    <w:basedOn w:val="Normal"/>
    <w:uiPriority w:val="99"/>
    <w:unhideWhenUsed/>
    <w:qFormat/>
    <w:rsid w:val="00bc184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rsid w:val="007679cc"/>
    <w:pPr>
      <w:spacing w:before="0" w:after="200"/>
      <w:ind w:left="720" w:hanging="0"/>
      <w:contextualSpacing/>
    </w:pPr>
    <w:rPr/>
  </w:style>
  <w:style w:type="paragraph" w:styleId="BalloonText">
    <w:name w:val="Balloon Text"/>
    <w:basedOn w:val="Normal"/>
    <w:link w:val="a7"/>
    <w:uiPriority w:val="99"/>
    <w:semiHidden/>
    <w:unhideWhenUsed/>
    <w:qFormat/>
    <w:rsid w:val="00227695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39"/>
    <w:rsid w:val="00f36a6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rgfootball.net/viewforum.php?f=43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Application>LibreOffice/7.2.4.1$Linux_X86_64 LibreOffice_project/20$Build-1</Application>
  <AppVersion>15.0000</AppVersion>
  <Pages>28</Pages>
  <Words>6546</Words>
  <Characters>36396</Characters>
  <CharactersWithSpaces>40191</CharactersWithSpaces>
  <Paragraphs>1767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2019-09-17T12:18:00Z</dcterms:created>
  <dc:creator>777</dc:creator>
  <dc:description/>
  <dc:language>ru-RU</dc:language>
  <cp:lastModifiedBy/>
  <cp:lastPrinted>2019-09-18T05:55:00Z</cp:lastPrinted>
  <dcterms:modified xsi:type="dcterms:W3CDTF">2026-09-01T22:22:55Z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